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A4" w:rsidRDefault="00BA67E6" w:rsidP="00A46DA4">
      <w:pPr>
        <w:pStyle w:val="Heading2"/>
      </w:pPr>
      <w:r>
        <w:t xml:space="preserve">Diesel </w:t>
      </w:r>
      <w:r w:rsidR="00A46DA4">
        <w:t xml:space="preserve">Supply Chain </w:t>
      </w:r>
    </w:p>
    <w:p w:rsidR="00507BC3" w:rsidRDefault="00DE37AC" w:rsidP="00507BC3">
      <w:pPr>
        <w:pStyle w:val="Heading3"/>
      </w:pPr>
      <w:r>
        <w:t>Sector</w:t>
      </w:r>
      <w:r w:rsidR="00BA67E6">
        <w:t xml:space="preserve"> Description</w:t>
      </w:r>
    </w:p>
    <w:p w:rsidR="00C7766F" w:rsidRDefault="00A902FA" w:rsidP="00A902FA">
      <w:pPr>
        <w:pStyle w:val="BodyText"/>
      </w:pPr>
      <w:r>
        <w:t xml:space="preserve">The activities described in the diesel supply chain will be categorized under several NAICS codes.  Pipeline operators will be classified as pipeline transportation 486XXX, marketers will be classified as truck transportation 484XXX, and oil companies will be classified as </w:t>
      </w:r>
      <w:hyperlink r:id="rId8" w:history="1">
        <w:r w:rsidRPr="00C7766F">
          <w:t>324</w:t>
        </w:r>
      </w:hyperlink>
      <w:r w:rsidRPr="00C7766F">
        <w:t xml:space="preserve">XXX, </w:t>
      </w:r>
      <w:r w:rsidR="00C7766F" w:rsidRPr="00C7766F">
        <w:t>p</w:t>
      </w:r>
      <w:r w:rsidRPr="00C7766F">
        <w:t xml:space="preserve">etroleum and </w:t>
      </w:r>
      <w:r w:rsidR="00C7766F" w:rsidRPr="00C7766F">
        <w:t>c</w:t>
      </w:r>
      <w:r w:rsidRPr="00C7766F">
        <w:t xml:space="preserve">oal </w:t>
      </w:r>
      <w:r w:rsidR="00C7766F" w:rsidRPr="00C7766F">
        <w:t>p</w:t>
      </w:r>
      <w:r w:rsidRPr="00C7766F">
        <w:t xml:space="preserve">roducts </w:t>
      </w:r>
      <w:r w:rsidR="00C7766F" w:rsidRPr="00C7766F">
        <w:t>m</w:t>
      </w:r>
      <w:r w:rsidRPr="00C7766F">
        <w:t>anufacturing</w:t>
      </w:r>
      <w:r w:rsidR="00C7766F">
        <w:t xml:space="preserve">.  Terminal operators will be classified as </w:t>
      </w:r>
      <w:hyperlink r:id="rId9" w:history="1">
        <w:r w:rsidR="00C7766F" w:rsidRPr="00C7766F">
          <w:t>42471</w:t>
        </w:r>
      </w:hyperlink>
      <w:r w:rsidR="00C7766F">
        <w:t xml:space="preserve">X, petroleum bulk stations and terminals.  </w:t>
      </w:r>
    </w:p>
    <w:p w:rsidR="00A902FA" w:rsidRPr="00A902FA" w:rsidRDefault="00C7766F" w:rsidP="00A902FA">
      <w:pPr>
        <w:pStyle w:val="BodyText"/>
      </w:pPr>
      <w:r w:rsidRPr="00BA67E6">
        <w:t xml:space="preserve">The movement of diesel involves a multi-modal system of pipelines, waterborne vessels (barge and tanker), and tanker trucks that make the “last mile” delivery of diesel product to the consumer.  The supply chain begins at the source, whether in northern Alaska where crude oil is pumped to Valdez, Alaska, and loaded onto tanker ships or imported from oil fields in Alberta or British Columbia, Canada, via the Trans Mountain Pipeline, or transported by oil tanker from another foreign source.  Refineries receive crude oil and create refined products such a gasoline and diesel fuel.  These products are transported to terminals from the refineries through pipelines, trucks, or waterborne vessels.  </w:t>
      </w:r>
    </w:p>
    <w:p w:rsidR="00DE37AC" w:rsidRDefault="00DE37AC" w:rsidP="00DE37AC">
      <w:pPr>
        <w:pStyle w:val="Heading3"/>
      </w:pPr>
      <w:r>
        <w:t>Modes and Notes – including stick diagram.  Maps as sidebars, where available.</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Figures below summarize this flow within the Washington state diesel distribution network.  </w:t>
      </w:r>
    </w:p>
    <w:p w:rsidR="00BA67E6" w:rsidRDefault="00BA67E6" w:rsidP="00BA67E6">
      <w:pPr>
        <w:pStyle w:val="Standardparagraph"/>
      </w:pPr>
      <w:r>
        <w:rPr>
          <w:noProof/>
        </w:rPr>
        <w:drawing>
          <wp:inline distT="0" distB="0" distL="0" distR="0">
            <wp:extent cx="5943600" cy="3009900"/>
            <wp:effectExtent l="0" t="0" r="0" b="0"/>
            <wp:docPr id="2" name="Picture 1" descr="Diesel_Supply_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sel_Supply_Chain.png"/>
                    <pic:cNvPicPr>
                      <a:picLocks noChangeAspect="1" noChangeArrowheads="1"/>
                    </pic:cNvPicPr>
                  </pic:nvPicPr>
                  <pic:blipFill>
                    <a:blip r:embed="rId10" cstate="print"/>
                    <a:srcRect l="-22382" r="-22382"/>
                    <a:stretch>
                      <a:fillRect/>
                    </a:stretch>
                  </pic:blipFill>
                  <pic:spPr bwMode="auto">
                    <a:xfrm>
                      <a:off x="0" y="0"/>
                      <a:ext cx="5943600" cy="3009900"/>
                    </a:xfrm>
                    <a:prstGeom prst="rect">
                      <a:avLst/>
                    </a:prstGeom>
                    <a:noFill/>
                    <a:ln w="9525">
                      <a:noFill/>
                      <a:miter lim="800000"/>
                      <a:headEnd/>
                      <a:tailEnd/>
                    </a:ln>
                  </pic:spPr>
                </pic:pic>
              </a:graphicData>
            </a:graphic>
          </wp:inline>
        </w:drawing>
      </w:r>
    </w:p>
    <w:p w:rsidR="00BA67E6" w:rsidRDefault="00BA67E6" w:rsidP="00BA67E6">
      <w:pPr>
        <w:pStyle w:val="Caption"/>
      </w:pPr>
      <w:r>
        <w:t>The Diesel Supply Chain for Washington State</w:t>
      </w:r>
    </w:p>
    <w:p w:rsidR="00BA67E6" w:rsidRDefault="00BA67E6" w:rsidP="00BA67E6">
      <w:pPr>
        <w:pStyle w:val="Standardparagraph"/>
      </w:pPr>
    </w:p>
    <w:p w:rsidR="00BA67E6" w:rsidRDefault="00BA67E6" w:rsidP="00BA67E6">
      <w:pPr>
        <w:pStyle w:val="Standardparagraph"/>
      </w:pPr>
    </w:p>
    <w:p w:rsidR="00BA67E6" w:rsidRDefault="00BA67E6" w:rsidP="00BA67E6">
      <w:pPr>
        <w:keepNext/>
        <w:spacing w:line="360" w:lineRule="auto"/>
        <w:jc w:val="center"/>
      </w:pPr>
      <w:bookmarkStart w:id="0" w:name="_Toc231469038"/>
      <w:r>
        <w:rPr>
          <w:rFonts w:ascii="Arial Narrow" w:hAnsi="Arial Narrow" w:cs="Arial"/>
          <w:noProof/>
          <w:lang w:eastAsia="zh-TW"/>
        </w:rPr>
        <w:pict>
          <v:shapetype id="_x0000_t202" coordsize="21600,21600" o:spt="202" path="m,l,21600r21600,l21600,xe">
            <v:stroke joinstyle="miter"/>
            <v:path gradientshapeok="t" o:connecttype="rect"/>
          </v:shapetype>
          <v:shape id="_x0000_s1042" type="#_x0000_t202" style="position:absolute;left:0;text-align:left;margin-left:471.65pt;margin-top:213pt;width:41.35pt;height:207.75pt;z-index:251658240;mso-width-relative:margin;mso-height-relative:margin" stroked="f">
            <v:textbox style="layout-flow:vertical;mso-layout-flow-alt:bottom-to-top;mso-next-textbox:#_x0000_s1042">
              <w:txbxContent>
                <w:p w:rsidR="00BA67E6" w:rsidRDefault="00BA67E6" w:rsidP="00BA67E6">
                  <w:pPr>
                    <w:pStyle w:val="Caption"/>
                    <w:rPr>
                      <w:szCs w:val="24"/>
                    </w:rPr>
                  </w:pPr>
                  <w:bookmarkStart w:id="1" w:name="_Toc232079764"/>
                  <w:bookmarkStart w:id="2" w:name="_Toc232219169"/>
                  <w:r>
                    <w:t xml:space="preserve">  Washington state diesel flow</w:t>
                  </w:r>
                  <w:bookmarkEnd w:id="1"/>
                  <w:bookmarkEnd w:id="2"/>
                </w:p>
                <w:p w:rsidR="00BA67E6" w:rsidRDefault="00BA67E6" w:rsidP="00BA67E6">
                  <w:pPr>
                    <w:pStyle w:val="Caption"/>
                    <w:rPr>
                      <w:rFonts w:ascii="Arial Narrow" w:hAnsi="Arial Narrow"/>
                    </w:rPr>
                  </w:pPr>
                </w:p>
                <w:p w:rsidR="00BA67E6" w:rsidRDefault="00BA67E6" w:rsidP="00BA67E6"/>
              </w:txbxContent>
            </v:textbox>
          </v:shape>
        </w:pict>
      </w:r>
      <w:r>
        <w:rPr>
          <w:rFonts w:ascii="Arial Narrow" w:hAnsi="Arial Narrow" w:cs="Arial"/>
          <w:noProof/>
        </w:rPr>
        <w:drawing>
          <wp:inline distT="0" distB="0" distL="0" distR="0">
            <wp:extent cx="5935345" cy="7785100"/>
            <wp:effectExtent l="19050" t="19050" r="65405" b="44450"/>
            <wp:docPr id="4" name="Picture 9" descr="Washington State Diesel Flow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shington State Diesel Flow Map"/>
                    <pic:cNvPicPr>
                      <a:picLocks noChangeAspect="1" noChangeArrowheads="1"/>
                    </pic:cNvPicPr>
                  </pic:nvPicPr>
                  <pic:blipFill>
                    <a:blip r:embed="rId11" cstate="print"/>
                    <a:srcRect r="1247"/>
                    <a:stretch>
                      <a:fillRect/>
                    </a:stretch>
                  </pic:blipFill>
                  <pic:spPr bwMode="auto">
                    <a:xfrm>
                      <a:off x="0" y="0"/>
                      <a:ext cx="5935345" cy="7785100"/>
                    </a:xfrm>
                    <a:prstGeom prst="rect">
                      <a:avLst/>
                    </a:prstGeom>
                    <a:noFill/>
                    <a:ln w="12700">
                      <a:solidFill>
                        <a:srgbClr val="000000"/>
                      </a:solidFill>
                      <a:miter lim="800000"/>
                      <a:headEnd/>
                      <a:tailEnd/>
                    </a:ln>
                    <a:effectLst>
                      <a:outerShdw dist="35921" dir="2700000" algn="ctr" rotWithShape="0">
                        <a:srgbClr val="808080"/>
                      </a:outerShdw>
                    </a:effectLst>
                  </pic:spPr>
                </pic:pic>
              </a:graphicData>
            </a:graphic>
          </wp:inline>
        </w:drawing>
      </w:r>
    </w:p>
    <w:p w:rsidR="00BA67E6" w:rsidRDefault="00BA67E6" w:rsidP="00BA67E6">
      <w:pPr>
        <w:pStyle w:val="Heading3"/>
        <w:rPr>
          <w:rFonts w:ascii="Arial Narrow" w:hAnsi="Arial Narrow"/>
          <w:szCs w:val="24"/>
        </w:rPr>
        <w:sectPr w:rsidR="00BA67E6">
          <w:footerReference w:type="default" r:id="rId12"/>
          <w:pgSz w:w="12240" w:h="15840" w:code="1"/>
          <w:pgMar w:top="1440" w:right="1800" w:bottom="1440" w:left="1800" w:header="720" w:footer="720" w:gutter="0"/>
          <w:cols w:space="720"/>
          <w:docGrid w:linePitch="360"/>
        </w:sectPr>
      </w:pPr>
    </w:p>
    <w:bookmarkEnd w:id="0"/>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lastRenderedPageBreak/>
        <w:t xml:space="preserve">From the refineries, diesel is further transported along the diesel supply chain by one of three </w:t>
      </w:r>
      <w:r w:rsidR="00AB2FFA">
        <w:rPr>
          <w:rFonts w:ascii="Book Antiqua" w:hAnsi="Book Antiqua"/>
          <w:sz w:val="22"/>
          <w:szCs w:val="22"/>
        </w:rPr>
        <w:t>modes</w:t>
      </w:r>
      <w:r w:rsidRPr="00BA67E6">
        <w:rPr>
          <w:rFonts w:ascii="Book Antiqua" w:hAnsi="Book Antiqua"/>
          <w:sz w:val="22"/>
          <w:szCs w:val="22"/>
        </w:rPr>
        <w:t>: pipeline, waterway, or tanker truck.  Pipeline is the most efficient and economic</w:t>
      </w:r>
      <w:r w:rsidR="00AB2FFA">
        <w:rPr>
          <w:rFonts w:ascii="Book Antiqua" w:hAnsi="Book Antiqua"/>
          <w:sz w:val="22"/>
          <w:szCs w:val="22"/>
        </w:rPr>
        <w:t>al</w:t>
      </w:r>
      <w:r w:rsidRPr="00BA67E6">
        <w:rPr>
          <w:rFonts w:ascii="Book Antiqua" w:hAnsi="Book Antiqua"/>
          <w:sz w:val="22"/>
          <w:szCs w:val="22"/>
        </w:rPr>
        <w:t xml:space="preserve"> mode of moving diesel.  It provides the lowest shipping rate and is the most reliable origin to destination carrier of the three modes.  For instance, the Washington State Plan Update Freight Movement (WSDOT 2008c) reports that one barrel of fuel moved between Ferndale and Tacoma on the Olympic Pipeline costs 1.0 cent in comparison to 1.8-cents by barge. </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operations of a pipeline involve shipping batches of distinct product in sequence to avoid contamination of one product by another.  The products are injected into the pipeline one after the other based on the basis of the oil company’s required batch sizes.  Diesel is shipped on the basis of a schedule set by the major oil company at the head of the pipeline, but it can also operate in a fungible mode, meaning that diesel product meeting the same grade and specifications of multiple oil companies may be mixed in a single batch and transported to a common terminal, where it is sold from a single inventory.  However, when diesel product is transported to a proprietary terminal, the diesel is offloaded from the pipeline to the terminal company that shipped the specific batch.  </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second most common and economical mode of transport for long haul shipments of diesel is via waterways.  Although tanker ships can be used, the majority of waterborne diesel movements are by way of barge.  Like pipelines, barges take advantage of economies of scale on the basis of the volume that can be shipped during a single movement.  </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“last mile” segment of the diesel delivery network is completed by tanker trucks.  Transportation of diesel by tanker truck is by far the most expensive mode, but it is essential because of the roadway infrastructure necessary to complete the final leg of the distribution network. Tanker trucks are owned and operated by marketers that purchase diesel from the major oil companies at terminal locations and transport the product to the consumer.  This is different from carriers in many other industries, who do not own the product and cannot profit from price differences between the time of pick-up and delivery.  Some marketers operate their own cardlock locations, but they also deliver to other independent cardlock locations, other fueling stations, fleets of trucks (termed “fleet fueling”) construction sites (termed “wet hosing”) or other locations as requested by their customers.  </w:t>
      </w:r>
    </w:p>
    <w:p w:rsidR="00645875" w:rsidRDefault="00645875" w:rsidP="00645875">
      <w:pPr>
        <w:pStyle w:val="Heading3"/>
      </w:pPr>
      <w:r>
        <w:t>Key Supply Chain Players</w:t>
      </w:r>
    </w:p>
    <w:p w:rsidR="00645875" w:rsidRDefault="00645875" w:rsidP="00DE37AC">
      <w:pPr>
        <w:pStyle w:val="BodyText"/>
      </w:pPr>
      <w:r>
        <w:t>The actors that participate in the supply chain incorporate a three-tier structure of major oil companies, marketers, and cardlock locations or other consumers.</w:t>
      </w:r>
    </w:p>
    <w:p w:rsidR="00645875" w:rsidRDefault="00645875" w:rsidP="00645875">
      <w:pPr>
        <w:pStyle w:val="Standardparagraph"/>
      </w:pPr>
    </w:p>
    <w:p w:rsidR="00645875" w:rsidRDefault="00645875" w:rsidP="00645875">
      <w:pPr>
        <w:keepNext/>
        <w:jc w:val="center"/>
      </w:pPr>
      <w:r>
        <w:rPr>
          <w:rFonts w:ascii="Arial Narrow" w:hAnsi="Arial Narrow" w:cs="Arial"/>
          <w:noProof/>
        </w:rPr>
      </w:r>
      <w:r>
        <w:rPr>
          <w:rFonts w:ascii="Arial Narrow" w:hAnsi="Arial Narrow" w:cs="Arial"/>
        </w:rPr>
        <w:pict>
          <v:group id="_x0000_s1035" editas="canvas" style="width:351pt;height:179.9pt;mso-position-horizontal-relative:char;mso-position-vertical-relative:line" coordorigin="3404,4612" coordsize="5400,2768">
            <o:lock v:ext="edit" aspectratio="t"/>
            <v:shape id="_x0000_s1036" type="#_x0000_t75" style="position:absolute;left:3404;top:4612;width:5400;height:2768" o:preferrelative="f" stroked="t" strokeweight="1pt">
              <v:fill o:detectmouseclick="t"/>
              <v:path o:extrusionok="t" o:connecttype="none"/>
              <o:lock v:ext="edit" text="t"/>
            </v:shape>
            <v:shape id="_x0000_s1037" type="#_x0000_t202" style="position:absolute;left:3806;top:4801;width:1284;height:773;mso-width-relative:margin;mso-height-relative:margin">
              <v:textbox style="mso-next-textbox:#_x0000_s1037">
                <w:txbxContent>
                  <w:p w:rsidR="00645875" w:rsidRDefault="00645875" w:rsidP="00645875">
                    <w:pPr>
                      <w:jc w:val="center"/>
                      <w:rPr>
                        <w:rFonts w:ascii="Arial Narrow" w:hAnsi="Arial Narrow"/>
                        <w:sz w:val="32"/>
                        <w:szCs w:val="32"/>
                      </w:rPr>
                    </w:pPr>
                    <w:r>
                      <w:rPr>
                        <w:rFonts w:ascii="Arial Narrow" w:hAnsi="Arial Narrow"/>
                        <w:sz w:val="32"/>
                        <w:szCs w:val="32"/>
                      </w:rPr>
                      <w:t>Major Oil Companies</w:t>
                    </w:r>
                  </w:p>
                </w:txbxContent>
              </v:textbox>
            </v:shape>
            <v:shape id="_x0000_s1038" type="#_x0000_t202" style="position:absolute;left:5471;top:5736;width:1292;height:461;mso-width-relative:margin;mso-height-relative:margin">
              <v:textbox style="mso-next-textbox:#_x0000_s1038">
                <w:txbxContent>
                  <w:p w:rsidR="00645875" w:rsidRDefault="00645875" w:rsidP="00645875">
                    <w:pPr>
                      <w:jc w:val="center"/>
                      <w:rPr>
                        <w:rFonts w:ascii="Arial Narrow" w:hAnsi="Arial Narrow"/>
                        <w:sz w:val="32"/>
                        <w:szCs w:val="32"/>
                      </w:rPr>
                    </w:pPr>
                    <w:r>
                      <w:rPr>
                        <w:rFonts w:ascii="Arial Narrow" w:hAnsi="Arial Narrow"/>
                        <w:sz w:val="32"/>
                        <w:szCs w:val="32"/>
                      </w:rPr>
                      <w:t>Marketers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4445;top:5574;width:1026;height:346" o:connectortype="elbow" adj="-130,-254880,-66565">
              <v:stroke endarrow="block"/>
            </v:shape>
            <v:shape id="_x0000_s1040" type="#_x0000_t34" style="position:absolute;left:6129;top:6197;width:1026;height:480" o:connectortype="elbow" adj="-146,-200838,-99704">
              <v:stroke endarrow="block"/>
            </v:shape>
            <v:shape id="_x0000_s1041" type="#_x0000_t202" style="position:absolute;left:7155;top:6290;width:1293;height:773;mso-width-relative:margin;mso-height-relative:margin">
              <v:textbox style="mso-next-textbox:#_x0000_s1041">
                <w:txbxContent>
                  <w:p w:rsidR="00645875" w:rsidRDefault="00645875" w:rsidP="00645875">
                    <w:pPr>
                      <w:jc w:val="center"/>
                      <w:rPr>
                        <w:rFonts w:ascii="Arial Narrow" w:hAnsi="Arial Narrow"/>
                        <w:sz w:val="32"/>
                        <w:szCs w:val="32"/>
                      </w:rPr>
                    </w:pPr>
                    <w:r>
                      <w:rPr>
                        <w:rFonts w:ascii="Arial Narrow" w:hAnsi="Arial Narrow"/>
                        <w:sz w:val="32"/>
                        <w:szCs w:val="32"/>
                      </w:rPr>
                      <w:t>Cardlocks/Consumer</w:t>
                    </w:r>
                  </w:p>
                </w:txbxContent>
              </v:textbox>
            </v:shape>
            <w10:wrap type="none"/>
            <w10:anchorlock/>
          </v:group>
        </w:pict>
      </w:r>
    </w:p>
    <w:p w:rsidR="00645875" w:rsidRDefault="00645875" w:rsidP="00645875">
      <w:pPr>
        <w:pStyle w:val="Caption"/>
      </w:pPr>
      <w:bookmarkStart w:id="3" w:name="_Toc232219167"/>
      <w:r>
        <w:t>Diesel supply system actors</w:t>
      </w:r>
      <w:bookmarkEnd w:id="3"/>
    </w:p>
    <w:p w:rsidR="00645875" w:rsidRDefault="00645875" w:rsidP="00DE37AC">
      <w:pPr>
        <w:pStyle w:val="Standardparagraph"/>
        <w:spacing w:line="240" w:lineRule="auto"/>
      </w:pPr>
    </w:p>
    <w:p w:rsidR="00BA67E6" w:rsidRDefault="00645875" w:rsidP="00DE37AC">
      <w:pPr>
        <w:pStyle w:val="Standardparagraph"/>
        <w:spacing w:line="240" w:lineRule="auto"/>
      </w:pPr>
      <w:r w:rsidRPr="00DE37AC">
        <w:rPr>
          <w:rFonts w:ascii="Book Antiqua" w:hAnsi="Book Antiqua"/>
          <w:sz w:val="22"/>
          <w:szCs w:val="22"/>
        </w:rPr>
        <w:t>The major oil companies (</w:t>
      </w:r>
      <w:r w:rsidR="00BA67E6">
        <w:rPr>
          <w:rFonts w:ascii="Book Antiqua" w:hAnsi="Book Antiqua"/>
          <w:sz w:val="22"/>
          <w:szCs w:val="22"/>
        </w:rPr>
        <w:t xml:space="preserve">e.g. </w:t>
      </w:r>
      <w:r w:rsidRPr="00DE37AC">
        <w:rPr>
          <w:rFonts w:ascii="Book Antiqua" w:hAnsi="Book Antiqua"/>
          <w:sz w:val="22"/>
          <w:szCs w:val="22"/>
        </w:rPr>
        <w:t xml:space="preserve">BP, Shell, ConocoPhillips, U.S. Oil, and Chevron – defined by ownership of their own crude oil reserves) refine crude oil into diesel and transport their product by way of pipeline, marine vessel, or tanker truck. </w:t>
      </w:r>
      <w:r w:rsidR="00BA67E6">
        <w:rPr>
          <w:rFonts w:ascii="Book Antiqua" w:hAnsi="Book Antiqua"/>
          <w:sz w:val="22"/>
          <w:szCs w:val="22"/>
        </w:rPr>
        <w:t>Most</w:t>
      </w:r>
      <w:r w:rsidRPr="00DE37AC">
        <w:rPr>
          <w:rFonts w:ascii="Book Antiqua" w:hAnsi="Book Antiqua"/>
          <w:sz w:val="22"/>
          <w:szCs w:val="22"/>
        </w:rPr>
        <w:t xml:space="preserve"> pipelines are owned and operated by one of the major oil companies. Independent operators in the marine industry contract with the major oil companies to move diesel by barge or tanker ship, and the tanker trucks are operated by independent companies known as marketers.  Diesel that is transported by a pipeline or marine vessel is offloaded at a terminal.  The terminals owned and operated by a major oil company are known as proprietary terminals, and those owned and operated by an independent terminal operator are known as common terminals.  From the terminals, a marketer purchases diesel and makes delivery to a cardlock location, other fueling stations, directly to fleets of vehicles, or as specified by its customers.  In addition, the major oil companies can contract directly with the marketers to transport diesel directly from a refinery.</w:t>
      </w:r>
      <w:r>
        <w:t xml:space="preserve"> </w:t>
      </w:r>
    </w:p>
    <w:p w:rsidR="00507BC3" w:rsidRDefault="00507BC3" w:rsidP="00BA67E6">
      <w:pPr>
        <w:pStyle w:val="Heading3"/>
      </w:pPr>
      <w:r>
        <w:t>Trends or Other Issues</w:t>
      </w:r>
    </w:p>
    <w:p w:rsidR="00AB2FFA" w:rsidRPr="00BA67E6" w:rsidRDefault="00AB2FFA" w:rsidP="00AB2FFA">
      <w:pPr>
        <w:pStyle w:val="Standardparagraph"/>
        <w:spacing w:line="240" w:lineRule="auto"/>
        <w:rPr>
          <w:rFonts w:ascii="Book Antiqua" w:hAnsi="Book Antiqua"/>
          <w:sz w:val="22"/>
          <w:szCs w:val="22"/>
        </w:rPr>
      </w:pPr>
      <w:r w:rsidRPr="00BA67E6">
        <w:rPr>
          <w:rFonts w:ascii="Book Antiqua" w:hAnsi="Book Antiqua"/>
          <w:sz w:val="22"/>
          <w:szCs w:val="22"/>
        </w:rPr>
        <w:t xml:space="preserve">Within the diesel industry, the major oil companies are trying to decrease direct contact with the end consumer; this forces the marketers to interact directly with the customer.  Analogous to other freight industries, marketers operate as a typical carrier, but they also operate as a supplier, as the product becomes their proprietary responsibility once they purchase it from the major oil company until they sell it to the customer.  This gives them an incentive to look for the lowest price in their purchase of diesel, not just to minimize transportation costs by picking up from the closest facility.  In addition, marketers can contract directly with the major oil companies to transport diesel to a direct customer of the major oil company.  In this sense the marketer operates as a carrier only.  </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past 36 months have seen tremendous fluctuation in the selling price of diesel on the market, as well as in the price of diesel at terminal locations.  These fluctuations can cause diesel prices to change hourly, with 5- to 15-cent price fluctuations at a single terminal location per day.  As a result, the marketers are constantly monitoring the price at each terminal and re-routing origin-destination trips in real time in order to take advantage of the lowest instantaneous terminal price, given their fixed and variable transportation and inventory costs.  Often the shortest trip between an origin terminal and a destination location is not utilized </w:t>
      </w:r>
      <w:r w:rsidRPr="00BA67E6">
        <w:rPr>
          <w:rFonts w:ascii="Book Antiqua" w:hAnsi="Book Antiqua"/>
          <w:sz w:val="22"/>
          <w:szCs w:val="22"/>
        </w:rPr>
        <w:lastRenderedPageBreak/>
        <w:t>because greater costs can be saved by traveling a greater distance to a terminal that has a lower diesel selling price.</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Diesel delivery is similar to just-in-time (JIT) delivery.  Although some customers might have pre-set delivery dates or an automatic request for delivery technology in place, most customers requiring diesel will place an order with a marketer as demand requires, and the marketer will make the delivery.  Some marketers have the capacity to store inventory, but most deliveries require the marketer to pull diesel directly from a terminal and then make the delivery.  A tanker truck can load diesel at a terminal at a rate of 600 to 800 gallons per minute.  Marketers prefer to maximize each trip by being efficient with their deliveries.  If possible, they will try to combine deliveries in order to avoid deadheading and will also make multiple deliveries on a single trip if needed.   </w:t>
      </w:r>
    </w:p>
    <w:p w:rsidR="00507BC3" w:rsidRDefault="00507BC3" w:rsidP="00507BC3">
      <w:pPr>
        <w:pStyle w:val="Heading3"/>
      </w:pPr>
      <w:r>
        <w:t>Components of Supply Chain Covered in National Databases</w:t>
      </w:r>
    </w:p>
    <w:p w:rsidR="00507BC3" w:rsidRDefault="00507BC3" w:rsidP="00507BC3">
      <w:pPr>
        <w:pStyle w:val="BodyText"/>
      </w:pPr>
      <w:r>
        <w:t>Description of components that can be estimated using national databases (e.g. FAF, Transearch) – including a discussion of accuracy of these databases relative to these supply chains</w:t>
      </w:r>
    </w:p>
    <w:p w:rsidR="00000000" w:rsidRPr="008D76F7" w:rsidRDefault="003110FA" w:rsidP="008D76F7">
      <w:pPr>
        <w:pStyle w:val="BodyText"/>
        <w:numPr>
          <w:ilvl w:val="0"/>
          <w:numId w:val="11"/>
        </w:numPr>
      </w:pPr>
      <w:r>
        <w:t>The Freight Analysis Framework (FAF2) is an origin-destination database published by the Federal Highway Administration (FHWA) based on data collected during the 2002 Commodity Flow Survey.  Report Number S6 – Petroleum National Totals (</w:t>
      </w:r>
      <w:hyperlink r:id="rId13" w:history="1">
        <w:r w:rsidRPr="003110FA">
          <w:t>http://ops.fhwa.dot.gov/freight/freight_</w:t>
        </w:r>
      </w:hyperlink>
      <w:r>
        <w:t xml:space="preserve"> analysis/faf/faf2_tech_document.htm) provides national aggregated movement totals for petroleum products by pipeline, water, highway, and rail.</w:t>
      </w:r>
      <w:r w:rsidR="00645875">
        <w:t xml:space="preserve">  FAF2 breaks the United States into 131 regions, typically 2 or 3 per state.  </w:t>
      </w:r>
      <w:r w:rsidR="008D76F7">
        <w:t>T</w:t>
      </w:r>
      <w:r w:rsidR="00645875">
        <w:t>he database estimates flow between these regions for the 43 unique SCTG codes</w:t>
      </w:r>
      <w:r w:rsidR="008D76F7">
        <w:t xml:space="preserve">, and is based on the Commodity Flow Survey (CFS).  The </w:t>
      </w:r>
      <w:r w:rsidR="006E3793" w:rsidRPr="008D76F7">
        <w:t xml:space="preserve">CFS is a shipper survey </w:t>
      </w:r>
      <w:r w:rsidR="008D76F7">
        <w:t xml:space="preserve">(100,000 surveys distributed) </w:t>
      </w:r>
      <w:r w:rsidR="006E3793" w:rsidRPr="008D76F7">
        <w:t>of select industr</w:t>
      </w:r>
      <w:r w:rsidR="006E3793" w:rsidRPr="008D76F7">
        <w:t>ies</w:t>
      </w:r>
      <w:r w:rsidR="008D76F7">
        <w:t>.  It does not capture trip chain</w:t>
      </w:r>
      <w:r w:rsidR="00DE37AC">
        <w:t>ing or intermediate stops well.</w:t>
      </w:r>
    </w:p>
    <w:p w:rsidR="00645875" w:rsidRDefault="00645875" w:rsidP="00507BC3">
      <w:pPr>
        <w:pStyle w:val="BodyText"/>
        <w:numPr>
          <w:ilvl w:val="0"/>
          <w:numId w:val="11"/>
        </w:numPr>
      </w:pPr>
      <w:r>
        <w:t>Global Insight provides a methodology for disaggregating this data based on a proprietary model of economic activity in the United States.</w:t>
      </w:r>
      <w:r w:rsidR="008D76F7">
        <w:t xml:space="preserve"> This model includes economic forecasts at a county level for 6-digit NAICS codes.</w:t>
      </w:r>
    </w:p>
    <w:p w:rsidR="00645875" w:rsidRDefault="00645875" w:rsidP="00645875">
      <w:pPr>
        <w:pStyle w:val="BodyText"/>
        <w:numPr>
          <w:ilvl w:val="0"/>
          <w:numId w:val="11"/>
        </w:numPr>
      </w:pPr>
      <w:r w:rsidRPr="003110FA">
        <w:t>The Destination and Origin of Waterborne Commerce of the United States, 2007</w:t>
      </w:r>
      <w:r>
        <w:t xml:space="preserve"> report from The Waterborne Commerce Statistics Center of the Army Corps of Engineers Institute for Water Resources (2008) (http://www.ndc.iwr.usace.army.mil/wcsc/wcsc.htm) contains aggregated petroleum and crude waterborne imported and exported data, but they are not disaggregated for diesel product and are only origin-destination specific by state or country. </w:t>
      </w:r>
    </w:p>
    <w:p w:rsidR="00645875" w:rsidRDefault="00645875" w:rsidP="00645875">
      <w:pPr>
        <w:pStyle w:val="BodyText"/>
        <w:numPr>
          <w:ilvl w:val="0"/>
          <w:numId w:val="11"/>
        </w:numPr>
      </w:pPr>
      <w:r>
        <w:t xml:space="preserve">The Energy Information Administration (EIA) maintains State Energy Profiles that contain a compilation of various aggregated fuel production and consumption data by state.  The EIA also publishes the </w:t>
      </w:r>
      <w:r w:rsidRPr="00645875">
        <w:t xml:space="preserve">Refining Capacity Report (2008) </w:t>
      </w:r>
      <w:r>
        <w:t>which reports the total production capacity at each refinery.</w:t>
      </w:r>
    </w:p>
    <w:p w:rsidR="00507BC3" w:rsidRDefault="00507BC3" w:rsidP="00507BC3">
      <w:pPr>
        <w:pStyle w:val="Heading3"/>
      </w:pPr>
      <w:r>
        <w:lastRenderedPageBreak/>
        <w:t>Supplemental Data to Fill in the Holes</w:t>
      </w:r>
    </w:p>
    <w:p w:rsidR="003110FA" w:rsidRDefault="003110FA" w:rsidP="003110FA">
      <w:pPr>
        <w:pStyle w:val="BodyText"/>
      </w:pPr>
      <w:r>
        <w:t>Data on diesel distribution is available from numerous state agencies and private entities, however, each holds the information for its own reasons and the data vary in their levels of spatial and temporal resolution and data quality.  Data may be available from:</w:t>
      </w:r>
    </w:p>
    <w:p w:rsidR="003110FA" w:rsidRDefault="003110FA" w:rsidP="003110FA">
      <w:pPr>
        <w:pStyle w:val="BodyText"/>
        <w:numPr>
          <w:ilvl w:val="0"/>
          <w:numId w:val="11"/>
        </w:numPr>
      </w:pPr>
      <w:r>
        <w:t xml:space="preserve">Departments of Transportation performing strategic planning, for example the </w:t>
      </w:r>
      <w:r w:rsidRPr="009332D1">
        <w:t>Washington Transportation Plan Update Freight Movement</w:t>
      </w:r>
      <w:r>
        <w:t xml:space="preserve"> (2008c) provides general information on the locations of refineries, pipelines, and terminals, and outlines the distribution of petroleum products on an aggregated level within Washington state and to other locations.  The </w:t>
      </w:r>
      <w:r w:rsidRPr="009332D1">
        <w:t xml:space="preserve">Washington State Freight and Goods Transportation System (FGTS) 2007 Update </w:t>
      </w:r>
      <w:r>
        <w:t>(2008b) provides an understanding of the roadway network within the state as it applies to the movement of freight.</w:t>
      </w:r>
    </w:p>
    <w:p w:rsidR="003110FA" w:rsidRDefault="003110FA" w:rsidP="003110FA">
      <w:pPr>
        <w:pStyle w:val="BodyText"/>
        <w:numPr>
          <w:ilvl w:val="0"/>
          <w:numId w:val="11"/>
        </w:numPr>
      </w:pPr>
      <w:r>
        <w:t>The State of Washington Energy Facility Site Evaluation Council</w:t>
      </w:r>
      <w:r w:rsidRPr="009332D1">
        <w:t xml:space="preserve"> </w:t>
      </w:r>
      <w:r>
        <w:t xml:space="preserve">report completed by ICF International (2007) verifies much of the information provided in the WSDOT report while also describing in greater detail the pipeline and barge movement operations along the supply chain.  </w:t>
      </w:r>
    </w:p>
    <w:p w:rsidR="003110FA" w:rsidRDefault="003110FA" w:rsidP="003110FA">
      <w:pPr>
        <w:pStyle w:val="BodyText"/>
        <w:numPr>
          <w:ilvl w:val="0"/>
          <w:numId w:val="11"/>
        </w:numPr>
      </w:pPr>
      <w:r>
        <w:t>State Department of Agriculture (DOA</w:t>
      </w:r>
      <w:r w:rsidRPr="003110FA">
        <w:t>)</w:t>
      </w:r>
      <w:r>
        <w:t xml:space="preserve"> regulates the accuracy of the quantity and quality of fuel delivered at gas stations in a state.  The locations that it monitors are based on a list of businesses that have fuel meters registered with the Washington State Department of Licensing (DOL).</w:t>
      </w:r>
    </w:p>
    <w:p w:rsidR="003110FA" w:rsidRDefault="003110FA" w:rsidP="003110FA">
      <w:pPr>
        <w:pStyle w:val="BodyText"/>
        <w:numPr>
          <w:ilvl w:val="0"/>
          <w:numId w:val="11"/>
        </w:numPr>
      </w:pPr>
      <w:r>
        <w:t>State Department of Ecology (ECY) regulates active underground storage tanks (USTs) in the state and as such has location and volume information for these tanks.</w:t>
      </w:r>
    </w:p>
    <w:p w:rsidR="003110FA" w:rsidRDefault="003110FA" w:rsidP="003110FA">
      <w:pPr>
        <w:pStyle w:val="BodyText"/>
        <w:numPr>
          <w:ilvl w:val="0"/>
          <w:numId w:val="11"/>
        </w:numPr>
      </w:pPr>
      <w:r>
        <w:t>Washington State Environmental Protection Agency (EPA) regulates above-ground storage tanks (ASTs).  Location and volume for these tanks is available.</w:t>
      </w:r>
    </w:p>
    <w:p w:rsidR="003110FA" w:rsidRDefault="003110FA" w:rsidP="003110FA">
      <w:pPr>
        <w:pStyle w:val="BodyText"/>
        <w:numPr>
          <w:ilvl w:val="0"/>
          <w:numId w:val="11"/>
        </w:numPr>
      </w:pPr>
      <w:r>
        <w:t>State Department of Revenue (DOR) is responsible for assessing and collecting fuel taxes at terminal locations.  This agency can provide locations of terminals and refineries.</w:t>
      </w:r>
    </w:p>
    <w:p w:rsidR="003110FA" w:rsidRPr="003110FA" w:rsidRDefault="003110FA" w:rsidP="003110FA">
      <w:pPr>
        <w:pStyle w:val="BodyText"/>
        <w:numPr>
          <w:ilvl w:val="0"/>
          <w:numId w:val="11"/>
        </w:numPr>
      </w:pPr>
      <w:r>
        <w:t xml:space="preserve">Fuel marketers and distribution companies.  These companies purchase fuel from refineries or terminals and transport it to distribution points such as gas stations or card-lock facilities.  They may be able to provide location and volume information.  </w:t>
      </w:r>
    </w:p>
    <w:p w:rsidR="003110FA" w:rsidRDefault="003110FA" w:rsidP="003110FA">
      <w:pPr>
        <w:pStyle w:val="BodyText"/>
        <w:numPr>
          <w:ilvl w:val="0"/>
          <w:numId w:val="11"/>
        </w:numPr>
      </w:pPr>
      <w:r>
        <w:t xml:space="preserve">Regional Commodity Flow Surveys such as the Strategic Freight Transportation Analysis (SFTA) conducted in 2003 and 2004.  The database is categorized by UN placard number (1202 and 1203 for petroleum products), payload weight, and origin-destination (city, state) for the surveyed truck trips.  </w:t>
      </w:r>
    </w:p>
    <w:p w:rsidR="003110FA" w:rsidRDefault="003110FA" w:rsidP="003110FA">
      <w:pPr>
        <w:pStyle w:val="BodyText"/>
        <w:numPr>
          <w:ilvl w:val="0"/>
          <w:numId w:val="11"/>
        </w:numPr>
      </w:pPr>
      <w:r>
        <w:t xml:space="preserve">In Washington, the ECY publishes the annual </w:t>
      </w:r>
      <w:r w:rsidRPr="003110FA">
        <w:t>Vessel Entry and Transit for Washington Waters (VEAT)</w:t>
      </w:r>
      <w:r>
        <w:t xml:space="preserve"> report that identifies vessels in Washington state waters tracked by the ECY.  </w:t>
      </w:r>
    </w:p>
    <w:p w:rsidR="003110FA" w:rsidRDefault="003110FA" w:rsidP="00645875">
      <w:pPr>
        <w:pStyle w:val="BodyText"/>
        <w:numPr>
          <w:ilvl w:val="0"/>
          <w:numId w:val="11"/>
        </w:numPr>
      </w:pPr>
      <w:r>
        <w:t>Pipeline operators such as ConocoPhillips Pipeline, Chevron Pipeline Company, and Kinder Morgan may be able to provide information.</w:t>
      </w:r>
      <w:r w:rsidRPr="00130EF1">
        <w:t xml:space="preserve"> </w:t>
      </w:r>
      <w:r>
        <w:t xml:space="preserve"> Form 6-Annual Report of Oil </w:t>
      </w:r>
      <w:r>
        <w:lastRenderedPageBreak/>
        <w:t xml:space="preserve">Pipeline Companies is a form that the Office of External Affairs (OEA) of the Federal Energy Regulatory Commission (FERC) requires each pipeline company to annually submit to report financial and operational information.  Filed Form 6’s are available at http://www.ferc.gov/docs-filing/eforms.asp#6.  </w:t>
      </w:r>
    </w:p>
    <w:p w:rsidR="003110FA" w:rsidRDefault="003110FA" w:rsidP="00645875">
      <w:pPr>
        <w:pStyle w:val="BodyText"/>
        <w:numPr>
          <w:ilvl w:val="0"/>
          <w:numId w:val="11"/>
        </w:numPr>
      </w:pPr>
      <w:r>
        <w:t>Regional Industrial Associations such as The Western States Petroleum Association may be available for contact or have reports available.</w:t>
      </w:r>
    </w:p>
    <w:sectPr w:rsidR="003110FA" w:rsidSect="00D33D7E">
      <w:footerReference w:type="default" r:id="rId14"/>
      <w:pgSz w:w="12240" w:h="15840"/>
      <w:pgMar w:top="1440" w:right="1440" w:bottom="144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793" w:rsidRDefault="006E3793" w:rsidP="00D33D7E">
      <w:r>
        <w:separator/>
      </w:r>
    </w:p>
  </w:endnote>
  <w:endnote w:type="continuationSeparator" w:id="0">
    <w:p w:rsidR="006E3793" w:rsidRDefault="006E3793" w:rsidP="00D33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E6" w:rsidRDefault="00BA67E6">
    <w:pPr>
      <w:pStyle w:val="Footer"/>
      <w:jc w:val="center"/>
      <w:rPr>
        <w:rFonts w:ascii="Arial Narrow" w:hAnsi="Arial Narrow"/>
      </w:rPr>
    </w:pPr>
    <w:r>
      <w:rPr>
        <w:rStyle w:val="PageNumber"/>
      </w:rPr>
      <w:fldChar w:fldCharType="begin"/>
    </w:r>
    <w:r>
      <w:rPr>
        <w:rStyle w:val="PageNumber"/>
      </w:rPr>
      <w:instrText xml:space="preserve"> PAGE </w:instrText>
    </w:r>
    <w:r>
      <w:rPr>
        <w:rStyle w:val="PageNumber"/>
      </w:rPr>
      <w:fldChar w:fldCharType="separate"/>
    </w:r>
    <w:r w:rsidR="00C7766F">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2A" w:rsidRDefault="00507F2A" w:rsidP="00D33D7E">
    <w:pPr>
      <w:pStyle w:val="Footer"/>
      <w:tabs>
        <w:tab w:val="clear" w:pos="4680"/>
      </w:tabs>
      <w:jc w:val="center"/>
    </w:pPr>
    <w:r>
      <w:t xml:space="preserve">- </w:t>
    </w:r>
    <w:fldSimple w:instr=" PAGE   \* MERGEFORMAT ">
      <w:r w:rsidR="00C7766F">
        <w:rPr>
          <w:noProof/>
        </w:rPr>
        <w:t>4</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793" w:rsidRDefault="006E3793" w:rsidP="00D33D7E">
      <w:r>
        <w:separator/>
      </w:r>
    </w:p>
  </w:footnote>
  <w:footnote w:type="continuationSeparator" w:id="0">
    <w:p w:rsidR="006E3793" w:rsidRDefault="006E3793" w:rsidP="00D33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6pt;height:36pt" o:bullet="t">
        <v:imagedata r:id="rId1" o:title="artA05"/>
      </v:shape>
    </w:pict>
  </w:numPicBullet>
  <w:abstractNum w:abstractNumId="0">
    <w:nsid w:val="FFFFFF89"/>
    <w:multiLevelType w:val="singleLevel"/>
    <w:tmpl w:val="461878B0"/>
    <w:lvl w:ilvl="0">
      <w:start w:val="1"/>
      <w:numFmt w:val="bullet"/>
      <w:lvlText w:val=""/>
      <w:lvlJc w:val="left"/>
      <w:pPr>
        <w:tabs>
          <w:tab w:val="num" w:pos="360"/>
        </w:tabs>
        <w:ind w:left="360" w:hanging="360"/>
      </w:pPr>
      <w:rPr>
        <w:rFonts w:ascii="Symbol" w:hAnsi="Symbol" w:hint="default"/>
      </w:rPr>
    </w:lvl>
  </w:abstractNum>
  <w:abstractNum w:abstractNumId="1">
    <w:nsid w:val="1E723977"/>
    <w:multiLevelType w:val="hybridMultilevel"/>
    <w:tmpl w:val="A6E2DE52"/>
    <w:lvl w:ilvl="0" w:tplc="8E26D494">
      <w:start w:val="1"/>
      <w:numFmt w:val="bullet"/>
      <w:lvlText w:val=""/>
      <w:lvlPicBulletId w:val="0"/>
      <w:lvlJc w:val="left"/>
      <w:pPr>
        <w:tabs>
          <w:tab w:val="num" w:pos="720"/>
        </w:tabs>
        <w:ind w:left="720" w:hanging="360"/>
      </w:pPr>
      <w:rPr>
        <w:rFonts w:ascii="Symbol" w:hAnsi="Symbol" w:hint="default"/>
      </w:rPr>
    </w:lvl>
    <w:lvl w:ilvl="1" w:tplc="E4F4EFA6">
      <w:start w:val="2093"/>
      <w:numFmt w:val="bullet"/>
      <w:lvlText w:val="–"/>
      <w:lvlJc w:val="left"/>
      <w:pPr>
        <w:tabs>
          <w:tab w:val="num" w:pos="1440"/>
        </w:tabs>
        <w:ind w:left="1440" w:hanging="360"/>
      </w:pPr>
      <w:rPr>
        <w:rFonts w:ascii="Arial" w:hAnsi="Arial" w:hint="default"/>
      </w:rPr>
    </w:lvl>
    <w:lvl w:ilvl="2" w:tplc="7C72C5DA" w:tentative="1">
      <w:start w:val="1"/>
      <w:numFmt w:val="bullet"/>
      <w:lvlText w:val=""/>
      <w:lvlPicBulletId w:val="0"/>
      <w:lvlJc w:val="left"/>
      <w:pPr>
        <w:tabs>
          <w:tab w:val="num" w:pos="2160"/>
        </w:tabs>
        <w:ind w:left="2160" w:hanging="360"/>
      </w:pPr>
      <w:rPr>
        <w:rFonts w:ascii="Symbol" w:hAnsi="Symbol" w:hint="default"/>
      </w:rPr>
    </w:lvl>
    <w:lvl w:ilvl="3" w:tplc="B91E399E" w:tentative="1">
      <w:start w:val="1"/>
      <w:numFmt w:val="bullet"/>
      <w:lvlText w:val=""/>
      <w:lvlPicBulletId w:val="0"/>
      <w:lvlJc w:val="left"/>
      <w:pPr>
        <w:tabs>
          <w:tab w:val="num" w:pos="2880"/>
        </w:tabs>
        <w:ind w:left="2880" w:hanging="360"/>
      </w:pPr>
      <w:rPr>
        <w:rFonts w:ascii="Symbol" w:hAnsi="Symbol" w:hint="default"/>
      </w:rPr>
    </w:lvl>
    <w:lvl w:ilvl="4" w:tplc="C2A24740" w:tentative="1">
      <w:start w:val="1"/>
      <w:numFmt w:val="bullet"/>
      <w:lvlText w:val=""/>
      <w:lvlPicBulletId w:val="0"/>
      <w:lvlJc w:val="left"/>
      <w:pPr>
        <w:tabs>
          <w:tab w:val="num" w:pos="3600"/>
        </w:tabs>
        <w:ind w:left="3600" w:hanging="360"/>
      </w:pPr>
      <w:rPr>
        <w:rFonts w:ascii="Symbol" w:hAnsi="Symbol" w:hint="default"/>
      </w:rPr>
    </w:lvl>
    <w:lvl w:ilvl="5" w:tplc="EFB47E9C" w:tentative="1">
      <w:start w:val="1"/>
      <w:numFmt w:val="bullet"/>
      <w:lvlText w:val=""/>
      <w:lvlPicBulletId w:val="0"/>
      <w:lvlJc w:val="left"/>
      <w:pPr>
        <w:tabs>
          <w:tab w:val="num" w:pos="4320"/>
        </w:tabs>
        <w:ind w:left="4320" w:hanging="360"/>
      </w:pPr>
      <w:rPr>
        <w:rFonts w:ascii="Symbol" w:hAnsi="Symbol" w:hint="default"/>
      </w:rPr>
    </w:lvl>
    <w:lvl w:ilvl="6" w:tplc="9D60DD38" w:tentative="1">
      <w:start w:val="1"/>
      <w:numFmt w:val="bullet"/>
      <w:lvlText w:val=""/>
      <w:lvlPicBulletId w:val="0"/>
      <w:lvlJc w:val="left"/>
      <w:pPr>
        <w:tabs>
          <w:tab w:val="num" w:pos="5040"/>
        </w:tabs>
        <w:ind w:left="5040" w:hanging="360"/>
      </w:pPr>
      <w:rPr>
        <w:rFonts w:ascii="Symbol" w:hAnsi="Symbol" w:hint="default"/>
      </w:rPr>
    </w:lvl>
    <w:lvl w:ilvl="7" w:tplc="32122590" w:tentative="1">
      <w:start w:val="1"/>
      <w:numFmt w:val="bullet"/>
      <w:lvlText w:val=""/>
      <w:lvlPicBulletId w:val="0"/>
      <w:lvlJc w:val="left"/>
      <w:pPr>
        <w:tabs>
          <w:tab w:val="num" w:pos="5760"/>
        </w:tabs>
        <w:ind w:left="5760" w:hanging="360"/>
      </w:pPr>
      <w:rPr>
        <w:rFonts w:ascii="Symbol" w:hAnsi="Symbol" w:hint="default"/>
      </w:rPr>
    </w:lvl>
    <w:lvl w:ilvl="8" w:tplc="635AD81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F0A6988"/>
    <w:multiLevelType w:val="hybridMultilevel"/>
    <w:tmpl w:val="9C70D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32EDF"/>
    <w:multiLevelType w:val="hybridMultilevel"/>
    <w:tmpl w:val="CD329686"/>
    <w:lvl w:ilvl="0" w:tplc="1FA08284">
      <w:start w:val="1"/>
      <w:numFmt w:val="bullet"/>
      <w:lvlText w:val=""/>
      <w:lvlPicBulletId w:val="0"/>
      <w:lvlJc w:val="left"/>
      <w:pPr>
        <w:tabs>
          <w:tab w:val="num" w:pos="720"/>
        </w:tabs>
        <w:ind w:left="720" w:hanging="360"/>
      </w:pPr>
      <w:rPr>
        <w:rFonts w:ascii="Symbol" w:hAnsi="Symbol" w:hint="default"/>
      </w:rPr>
    </w:lvl>
    <w:lvl w:ilvl="1" w:tplc="8CD2B534">
      <w:start w:val="2093"/>
      <w:numFmt w:val="bullet"/>
      <w:lvlText w:val="–"/>
      <w:lvlJc w:val="left"/>
      <w:pPr>
        <w:tabs>
          <w:tab w:val="num" w:pos="1440"/>
        </w:tabs>
        <w:ind w:left="1440" w:hanging="360"/>
      </w:pPr>
      <w:rPr>
        <w:rFonts w:ascii="Arial" w:hAnsi="Arial" w:hint="default"/>
      </w:rPr>
    </w:lvl>
    <w:lvl w:ilvl="2" w:tplc="299A3E9A" w:tentative="1">
      <w:start w:val="1"/>
      <w:numFmt w:val="bullet"/>
      <w:lvlText w:val=""/>
      <w:lvlPicBulletId w:val="0"/>
      <w:lvlJc w:val="left"/>
      <w:pPr>
        <w:tabs>
          <w:tab w:val="num" w:pos="2160"/>
        </w:tabs>
        <w:ind w:left="2160" w:hanging="360"/>
      </w:pPr>
      <w:rPr>
        <w:rFonts w:ascii="Symbol" w:hAnsi="Symbol" w:hint="default"/>
      </w:rPr>
    </w:lvl>
    <w:lvl w:ilvl="3" w:tplc="FF12E97C" w:tentative="1">
      <w:start w:val="1"/>
      <w:numFmt w:val="bullet"/>
      <w:lvlText w:val=""/>
      <w:lvlPicBulletId w:val="0"/>
      <w:lvlJc w:val="left"/>
      <w:pPr>
        <w:tabs>
          <w:tab w:val="num" w:pos="2880"/>
        </w:tabs>
        <w:ind w:left="2880" w:hanging="360"/>
      </w:pPr>
      <w:rPr>
        <w:rFonts w:ascii="Symbol" w:hAnsi="Symbol" w:hint="default"/>
      </w:rPr>
    </w:lvl>
    <w:lvl w:ilvl="4" w:tplc="BBC8747E" w:tentative="1">
      <w:start w:val="1"/>
      <w:numFmt w:val="bullet"/>
      <w:lvlText w:val=""/>
      <w:lvlPicBulletId w:val="0"/>
      <w:lvlJc w:val="left"/>
      <w:pPr>
        <w:tabs>
          <w:tab w:val="num" w:pos="3600"/>
        </w:tabs>
        <w:ind w:left="3600" w:hanging="360"/>
      </w:pPr>
      <w:rPr>
        <w:rFonts w:ascii="Symbol" w:hAnsi="Symbol" w:hint="default"/>
      </w:rPr>
    </w:lvl>
    <w:lvl w:ilvl="5" w:tplc="9FB43504" w:tentative="1">
      <w:start w:val="1"/>
      <w:numFmt w:val="bullet"/>
      <w:lvlText w:val=""/>
      <w:lvlPicBulletId w:val="0"/>
      <w:lvlJc w:val="left"/>
      <w:pPr>
        <w:tabs>
          <w:tab w:val="num" w:pos="4320"/>
        </w:tabs>
        <w:ind w:left="4320" w:hanging="360"/>
      </w:pPr>
      <w:rPr>
        <w:rFonts w:ascii="Symbol" w:hAnsi="Symbol" w:hint="default"/>
      </w:rPr>
    </w:lvl>
    <w:lvl w:ilvl="6" w:tplc="34DA2110" w:tentative="1">
      <w:start w:val="1"/>
      <w:numFmt w:val="bullet"/>
      <w:lvlText w:val=""/>
      <w:lvlPicBulletId w:val="0"/>
      <w:lvlJc w:val="left"/>
      <w:pPr>
        <w:tabs>
          <w:tab w:val="num" w:pos="5040"/>
        </w:tabs>
        <w:ind w:left="5040" w:hanging="360"/>
      </w:pPr>
      <w:rPr>
        <w:rFonts w:ascii="Symbol" w:hAnsi="Symbol" w:hint="default"/>
      </w:rPr>
    </w:lvl>
    <w:lvl w:ilvl="7" w:tplc="BB60EB70" w:tentative="1">
      <w:start w:val="1"/>
      <w:numFmt w:val="bullet"/>
      <w:lvlText w:val=""/>
      <w:lvlPicBulletId w:val="0"/>
      <w:lvlJc w:val="left"/>
      <w:pPr>
        <w:tabs>
          <w:tab w:val="num" w:pos="5760"/>
        </w:tabs>
        <w:ind w:left="5760" w:hanging="360"/>
      </w:pPr>
      <w:rPr>
        <w:rFonts w:ascii="Symbol" w:hAnsi="Symbol" w:hint="default"/>
      </w:rPr>
    </w:lvl>
    <w:lvl w:ilvl="8" w:tplc="DB386E1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24427DD"/>
    <w:multiLevelType w:val="hybridMultilevel"/>
    <w:tmpl w:val="91C82EF4"/>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6">
    <w:nsid w:val="40BC215C"/>
    <w:multiLevelType w:val="hybridMultilevel"/>
    <w:tmpl w:val="FF1E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D2EF8"/>
    <w:multiLevelType w:val="singleLevel"/>
    <w:tmpl w:val="6ED0A1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5950128B"/>
    <w:multiLevelType w:val="hybridMultilevel"/>
    <w:tmpl w:val="3334D9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21C1D8C"/>
    <w:multiLevelType w:val="hybridMultilevel"/>
    <w:tmpl w:val="8F02C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abstractNum w:abstractNumId="11">
    <w:nsid w:val="71257057"/>
    <w:multiLevelType w:val="hybridMultilevel"/>
    <w:tmpl w:val="0C70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63E07"/>
    <w:multiLevelType w:val="hybridMultilevel"/>
    <w:tmpl w:val="86ACE9B4"/>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7"/>
  </w:num>
  <w:num w:numId="6">
    <w:abstractNumId w:val="5"/>
  </w:num>
  <w:num w:numId="7">
    <w:abstractNumId w:val="10"/>
  </w:num>
  <w:num w:numId="8">
    <w:abstractNumId w:val="10"/>
  </w:num>
  <w:num w:numId="9">
    <w:abstractNumId w:val="11"/>
  </w:num>
  <w:num w:numId="10">
    <w:abstractNumId w:val="2"/>
  </w:num>
  <w:num w:numId="11">
    <w:abstractNumId w:val="6"/>
  </w:num>
  <w:num w:numId="12">
    <w:abstractNumId w:val="12"/>
  </w:num>
  <w:num w:numId="13">
    <w:abstractNumId w:val="4"/>
  </w:num>
  <w:num w:numId="14">
    <w:abstractNumId w:val="8"/>
  </w:num>
  <w:num w:numId="15">
    <w:abstractNumId w:val="9"/>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2F01"/>
  <w:defaultTabStop w:val="720"/>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printColBlack/>
    <w:suppressTopSpacing/>
    <w:suppressSpBfAfterPgBrk/>
    <w:doNotUseHTMLParagraphAutoSpacing/>
  </w:compat>
  <w:rsids>
    <w:rsidRoot w:val="000219A3"/>
    <w:rsid w:val="00004565"/>
    <w:rsid w:val="000219A3"/>
    <w:rsid w:val="000270CF"/>
    <w:rsid w:val="00084118"/>
    <w:rsid w:val="000919F0"/>
    <w:rsid w:val="00092834"/>
    <w:rsid w:val="000B009A"/>
    <w:rsid w:val="000D1669"/>
    <w:rsid w:val="000D711E"/>
    <w:rsid w:val="000E2410"/>
    <w:rsid w:val="000E6835"/>
    <w:rsid w:val="000F7DFB"/>
    <w:rsid w:val="001160F1"/>
    <w:rsid w:val="00122586"/>
    <w:rsid w:val="00147C03"/>
    <w:rsid w:val="001515E9"/>
    <w:rsid w:val="0016086D"/>
    <w:rsid w:val="00173E34"/>
    <w:rsid w:val="001828B0"/>
    <w:rsid w:val="001830FF"/>
    <w:rsid w:val="001D1915"/>
    <w:rsid w:val="001E39ED"/>
    <w:rsid w:val="001E770B"/>
    <w:rsid w:val="001E7CD4"/>
    <w:rsid w:val="002177CE"/>
    <w:rsid w:val="0022025A"/>
    <w:rsid w:val="00222872"/>
    <w:rsid w:val="00227963"/>
    <w:rsid w:val="002446D6"/>
    <w:rsid w:val="0025799B"/>
    <w:rsid w:val="002B37C5"/>
    <w:rsid w:val="003110FA"/>
    <w:rsid w:val="00331C01"/>
    <w:rsid w:val="0033664A"/>
    <w:rsid w:val="003C6525"/>
    <w:rsid w:val="003F651C"/>
    <w:rsid w:val="003F6AF5"/>
    <w:rsid w:val="00421882"/>
    <w:rsid w:val="00427431"/>
    <w:rsid w:val="004445CB"/>
    <w:rsid w:val="00457BE5"/>
    <w:rsid w:val="00475C5D"/>
    <w:rsid w:val="004A3656"/>
    <w:rsid w:val="004A37CF"/>
    <w:rsid w:val="004B502E"/>
    <w:rsid w:val="004D37AE"/>
    <w:rsid w:val="004F1171"/>
    <w:rsid w:val="004F36E3"/>
    <w:rsid w:val="00507BC3"/>
    <w:rsid w:val="00507F2A"/>
    <w:rsid w:val="00510232"/>
    <w:rsid w:val="00565346"/>
    <w:rsid w:val="00572830"/>
    <w:rsid w:val="005852E7"/>
    <w:rsid w:val="005B21B8"/>
    <w:rsid w:val="005B5B8C"/>
    <w:rsid w:val="005C1E07"/>
    <w:rsid w:val="005D0983"/>
    <w:rsid w:val="005D4CB9"/>
    <w:rsid w:val="005F1037"/>
    <w:rsid w:val="006201A6"/>
    <w:rsid w:val="00645875"/>
    <w:rsid w:val="006952B2"/>
    <w:rsid w:val="006A65A0"/>
    <w:rsid w:val="006B5960"/>
    <w:rsid w:val="006C17DD"/>
    <w:rsid w:val="006C6EBF"/>
    <w:rsid w:val="006D155D"/>
    <w:rsid w:val="006D7EAC"/>
    <w:rsid w:val="006E3793"/>
    <w:rsid w:val="006E5CA9"/>
    <w:rsid w:val="006E66C4"/>
    <w:rsid w:val="00731A0B"/>
    <w:rsid w:val="00741E07"/>
    <w:rsid w:val="00754352"/>
    <w:rsid w:val="00762A0D"/>
    <w:rsid w:val="007C0514"/>
    <w:rsid w:val="007C5FBB"/>
    <w:rsid w:val="007E03D8"/>
    <w:rsid w:val="007F68CB"/>
    <w:rsid w:val="00807843"/>
    <w:rsid w:val="00853D1C"/>
    <w:rsid w:val="008670F7"/>
    <w:rsid w:val="008A3C29"/>
    <w:rsid w:val="008C3052"/>
    <w:rsid w:val="008C60BF"/>
    <w:rsid w:val="008D2925"/>
    <w:rsid w:val="008D76F7"/>
    <w:rsid w:val="008E0FC7"/>
    <w:rsid w:val="0094496E"/>
    <w:rsid w:val="00980D51"/>
    <w:rsid w:val="009A0AA1"/>
    <w:rsid w:val="009B3244"/>
    <w:rsid w:val="009B3F72"/>
    <w:rsid w:val="009E2320"/>
    <w:rsid w:val="009F77AF"/>
    <w:rsid w:val="00A0655B"/>
    <w:rsid w:val="00A14835"/>
    <w:rsid w:val="00A1604F"/>
    <w:rsid w:val="00A23D02"/>
    <w:rsid w:val="00A46DA4"/>
    <w:rsid w:val="00A617B6"/>
    <w:rsid w:val="00A620E1"/>
    <w:rsid w:val="00A764CD"/>
    <w:rsid w:val="00A902FA"/>
    <w:rsid w:val="00AA3EC6"/>
    <w:rsid w:val="00AB2FFA"/>
    <w:rsid w:val="00AC06C3"/>
    <w:rsid w:val="00AC7B07"/>
    <w:rsid w:val="00AF671F"/>
    <w:rsid w:val="00B15079"/>
    <w:rsid w:val="00B16CA6"/>
    <w:rsid w:val="00B30BDE"/>
    <w:rsid w:val="00B41ABF"/>
    <w:rsid w:val="00B4226E"/>
    <w:rsid w:val="00B81137"/>
    <w:rsid w:val="00BA67E6"/>
    <w:rsid w:val="00BD2C3C"/>
    <w:rsid w:val="00BE352D"/>
    <w:rsid w:val="00C129D4"/>
    <w:rsid w:val="00C22C47"/>
    <w:rsid w:val="00C448F5"/>
    <w:rsid w:val="00C46FE0"/>
    <w:rsid w:val="00C7766F"/>
    <w:rsid w:val="00C9693A"/>
    <w:rsid w:val="00D20CA0"/>
    <w:rsid w:val="00D27991"/>
    <w:rsid w:val="00D33943"/>
    <w:rsid w:val="00D33D7E"/>
    <w:rsid w:val="00D35704"/>
    <w:rsid w:val="00DB241E"/>
    <w:rsid w:val="00DC1543"/>
    <w:rsid w:val="00DC3BB0"/>
    <w:rsid w:val="00DC3EEE"/>
    <w:rsid w:val="00DE2095"/>
    <w:rsid w:val="00DE37AC"/>
    <w:rsid w:val="00E0307D"/>
    <w:rsid w:val="00E04F00"/>
    <w:rsid w:val="00E208E4"/>
    <w:rsid w:val="00E464F0"/>
    <w:rsid w:val="00E53977"/>
    <w:rsid w:val="00E744E5"/>
    <w:rsid w:val="00EB17E0"/>
    <w:rsid w:val="00EC3AA1"/>
    <w:rsid w:val="00EC7C29"/>
    <w:rsid w:val="00EF0C96"/>
    <w:rsid w:val="00EF3E11"/>
    <w:rsid w:val="00F27228"/>
    <w:rsid w:val="00F30BE6"/>
    <w:rsid w:val="00F44863"/>
    <w:rsid w:val="00F721B5"/>
    <w:rsid w:val="00F8511A"/>
    <w:rsid w:val="00F92A14"/>
    <w:rsid w:val="00FB5AF1"/>
    <w:rsid w:val="00FC1132"/>
    <w:rsid w:val="00FD6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rules v:ext="edit">
        <o:r id="V:Rule3" type="connector" idref="#_x0000_s1039"/>
        <o:r id="V:Rule4" type="connector" idref="#_x0000_s1040">
          <o:proxy end="" idref="#_x0000_s1041" connectloc="1"/>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qFormat="1"/>
    <w:lsdException w:name="Title" w:uiPriority="10" w:unhideWhenUsed="0" w:qFormat="1"/>
    <w:lsdException w:name="Default Paragraph Font" w:uiPriority="1"/>
    <w:lsdException w:name="Body Text" w:uiPriority="0" w:qFormat="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0CA0"/>
    <w:pPr>
      <w:spacing w:after="0" w:line="240" w:lineRule="auto"/>
      <w:jc w:val="both"/>
    </w:pPr>
    <w:rPr>
      <w:rFonts w:ascii="Book Antiqua" w:hAnsi="Book Antiqua"/>
    </w:rPr>
  </w:style>
  <w:style w:type="paragraph" w:styleId="Heading1">
    <w:name w:val="heading 1"/>
    <w:basedOn w:val="Normal"/>
    <w:next w:val="BodyText"/>
    <w:link w:val="Heading1Char"/>
    <w:qFormat/>
    <w:rsid w:val="00B41ABF"/>
    <w:pPr>
      <w:keepNext/>
      <w:spacing w:after="600"/>
      <w:jc w:val="center"/>
      <w:outlineLvl w:val="0"/>
    </w:pPr>
    <w:rPr>
      <w:b/>
      <w:noProof/>
      <w:kern w:val="28"/>
      <w:sz w:val="30"/>
    </w:rPr>
  </w:style>
  <w:style w:type="paragraph" w:styleId="Heading2">
    <w:name w:val="heading 2"/>
    <w:basedOn w:val="Normal"/>
    <w:next w:val="BodyText"/>
    <w:link w:val="Heading2Char"/>
    <w:qFormat/>
    <w:rsid w:val="00B41ABF"/>
    <w:pPr>
      <w:keepNext/>
      <w:spacing w:before="240" w:after="360"/>
      <w:jc w:val="left"/>
      <w:outlineLvl w:val="1"/>
    </w:pPr>
    <w:rPr>
      <w:b/>
      <w:noProof/>
      <w:sz w:val="26"/>
    </w:rPr>
  </w:style>
  <w:style w:type="paragraph" w:styleId="Heading3">
    <w:name w:val="heading 3"/>
    <w:basedOn w:val="Normal"/>
    <w:next w:val="BodyText"/>
    <w:link w:val="Heading3Char"/>
    <w:qFormat/>
    <w:rsid w:val="00B41ABF"/>
    <w:pPr>
      <w:keepNext/>
      <w:spacing w:before="120" w:after="240"/>
      <w:jc w:val="left"/>
      <w:outlineLvl w:val="2"/>
    </w:pPr>
    <w:rPr>
      <w:b/>
      <w:i/>
      <w:noProof/>
      <w:sz w:val="24"/>
    </w:rPr>
  </w:style>
  <w:style w:type="paragraph" w:styleId="Heading4">
    <w:name w:val="heading 4"/>
    <w:basedOn w:val="Normal"/>
    <w:next w:val="Normal"/>
    <w:link w:val="Heading4Char"/>
    <w:uiPriority w:val="9"/>
    <w:semiHidden/>
    <w:qFormat/>
    <w:rsid w:val="00311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ABF"/>
    <w:rPr>
      <w:b/>
      <w:noProof/>
      <w:kern w:val="28"/>
      <w:sz w:val="30"/>
    </w:rPr>
  </w:style>
  <w:style w:type="paragraph" w:styleId="BodyText">
    <w:name w:val="Body Text"/>
    <w:basedOn w:val="Normal"/>
    <w:link w:val="BodyTextChar"/>
    <w:qFormat/>
    <w:rsid w:val="00B41ABF"/>
    <w:pPr>
      <w:spacing w:after="240"/>
    </w:pPr>
  </w:style>
  <w:style w:type="character" w:customStyle="1" w:styleId="BodyTextChar">
    <w:name w:val="Body Text Char"/>
    <w:basedOn w:val="DefaultParagraphFont"/>
    <w:link w:val="BodyText"/>
    <w:rsid w:val="00B41ABF"/>
  </w:style>
  <w:style w:type="paragraph" w:customStyle="1" w:styleId="Heading1to2">
    <w:name w:val="Heading 1 to 2"/>
    <w:basedOn w:val="Heading1"/>
    <w:next w:val="Heading2"/>
    <w:qFormat/>
    <w:rsid w:val="00B41ABF"/>
    <w:pPr>
      <w:spacing w:after="360"/>
    </w:pPr>
  </w:style>
  <w:style w:type="character" w:customStyle="1" w:styleId="Heading2Char">
    <w:name w:val="Heading 2 Char"/>
    <w:basedOn w:val="DefaultParagraphFont"/>
    <w:link w:val="Heading2"/>
    <w:rsid w:val="00B41ABF"/>
    <w:rPr>
      <w:b/>
      <w:noProof/>
      <w:sz w:val="26"/>
    </w:rPr>
  </w:style>
  <w:style w:type="paragraph" w:customStyle="1" w:styleId="Heading2to3">
    <w:name w:val="Heading 2 to 3"/>
    <w:basedOn w:val="Heading2"/>
    <w:next w:val="Heading3"/>
    <w:qFormat/>
    <w:rsid w:val="00B41ABF"/>
    <w:pPr>
      <w:spacing w:after="240"/>
    </w:pPr>
  </w:style>
  <w:style w:type="character" w:customStyle="1" w:styleId="Heading3Char">
    <w:name w:val="Heading 3 Char"/>
    <w:basedOn w:val="DefaultParagraphFont"/>
    <w:link w:val="Heading3"/>
    <w:rsid w:val="00B41ABF"/>
    <w:rPr>
      <w:b/>
      <w:i/>
      <w:noProof/>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B41ABF"/>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semiHidden/>
    <w:unhideWhenUsed/>
    <w:rsid w:val="00D33D7E"/>
    <w:pPr>
      <w:tabs>
        <w:tab w:val="center" w:pos="4680"/>
        <w:tab w:val="right" w:pos="9360"/>
      </w:tabs>
    </w:pPr>
  </w:style>
  <w:style w:type="character" w:customStyle="1" w:styleId="HeaderChar">
    <w:name w:val="Header Char"/>
    <w:basedOn w:val="DefaultParagraphFont"/>
    <w:link w:val="Header"/>
    <w:uiPriority w:val="99"/>
    <w:semiHidden/>
    <w:rsid w:val="00D33D7E"/>
  </w:style>
  <w:style w:type="paragraph" w:styleId="Footer">
    <w:name w:val="footer"/>
    <w:basedOn w:val="Normal"/>
    <w:link w:val="FooterChar"/>
    <w:semiHidden/>
    <w:unhideWhenUsed/>
    <w:rsid w:val="00D33D7E"/>
    <w:pPr>
      <w:tabs>
        <w:tab w:val="center" w:pos="4680"/>
        <w:tab w:val="right" w:pos="9360"/>
      </w:tabs>
    </w:pPr>
  </w:style>
  <w:style w:type="character" w:customStyle="1" w:styleId="FooterChar">
    <w:name w:val="Footer Char"/>
    <w:basedOn w:val="DefaultParagraphFont"/>
    <w:link w:val="Footer"/>
    <w:uiPriority w:val="99"/>
    <w:semiHidden/>
    <w:rsid w:val="00D33D7E"/>
  </w:style>
  <w:style w:type="character" w:customStyle="1" w:styleId="Heading4Char">
    <w:name w:val="Heading 4 Char"/>
    <w:basedOn w:val="DefaultParagraphFont"/>
    <w:link w:val="Heading4"/>
    <w:uiPriority w:val="9"/>
    <w:semiHidden/>
    <w:rsid w:val="003110FA"/>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semiHidden/>
    <w:unhideWhenUsed/>
    <w:rsid w:val="003110FA"/>
    <w:pPr>
      <w:spacing w:after="200" w:line="276" w:lineRule="auto"/>
      <w:jc w:val="left"/>
    </w:pPr>
    <w:rPr>
      <w:rFonts w:ascii="Calibri" w:eastAsia="Calibri" w:hAnsi="Calibri"/>
      <w:sz w:val="20"/>
      <w:szCs w:val="20"/>
    </w:rPr>
  </w:style>
  <w:style w:type="character" w:customStyle="1" w:styleId="FootnoteTextChar">
    <w:name w:val="Footnote Text Char"/>
    <w:basedOn w:val="DefaultParagraphFont"/>
    <w:link w:val="FootnoteText"/>
    <w:semiHidden/>
    <w:rsid w:val="003110FA"/>
    <w:rPr>
      <w:rFonts w:ascii="Calibri" w:eastAsia="Calibri" w:hAnsi="Calibri"/>
      <w:sz w:val="20"/>
      <w:szCs w:val="20"/>
    </w:rPr>
  </w:style>
  <w:style w:type="character" w:styleId="FootnoteReference">
    <w:name w:val="footnote reference"/>
    <w:basedOn w:val="DefaultParagraphFont"/>
    <w:semiHidden/>
    <w:unhideWhenUsed/>
    <w:rsid w:val="003110FA"/>
    <w:rPr>
      <w:vertAlign w:val="superscript"/>
    </w:rPr>
  </w:style>
  <w:style w:type="character" w:styleId="Hyperlink">
    <w:name w:val="Hyperlink"/>
    <w:basedOn w:val="DefaultParagraphFont"/>
    <w:semiHidden/>
    <w:unhideWhenUsed/>
    <w:rsid w:val="003110FA"/>
    <w:rPr>
      <w:color w:val="0000FF"/>
      <w:u w:val="single"/>
    </w:rPr>
  </w:style>
  <w:style w:type="paragraph" w:styleId="Caption">
    <w:name w:val="caption"/>
    <w:basedOn w:val="Normal"/>
    <w:next w:val="Normal"/>
    <w:qFormat/>
    <w:rsid w:val="003110FA"/>
    <w:pPr>
      <w:spacing w:before="120" w:after="120"/>
      <w:jc w:val="center"/>
    </w:pPr>
    <w:rPr>
      <w:rFonts w:ascii="Times New Roman" w:hAnsi="Times New Roman"/>
      <w:b/>
      <w:bCs/>
      <w:sz w:val="20"/>
      <w:szCs w:val="20"/>
    </w:rPr>
  </w:style>
  <w:style w:type="character" w:styleId="PageNumber">
    <w:name w:val="page number"/>
    <w:basedOn w:val="DefaultParagraphFont"/>
    <w:semiHidden/>
    <w:rsid w:val="003110FA"/>
  </w:style>
  <w:style w:type="paragraph" w:customStyle="1" w:styleId="Standardparagraph">
    <w:name w:val="Standard paragraph"/>
    <w:rsid w:val="003110FA"/>
    <w:pPr>
      <w:spacing w:after="0" w:line="360" w:lineRule="auto"/>
      <w:ind w:firstLine="720"/>
      <w:jc w:val="both"/>
    </w:pPr>
    <w:rPr>
      <w:rFonts w:ascii="Times" w:hAnsi="Times"/>
      <w:sz w:val="24"/>
      <w:szCs w:val="20"/>
    </w:rPr>
  </w:style>
  <w:style w:type="paragraph" w:styleId="BalloonText">
    <w:name w:val="Balloon Text"/>
    <w:basedOn w:val="Normal"/>
    <w:link w:val="BalloonTextChar"/>
    <w:uiPriority w:val="99"/>
    <w:semiHidden/>
    <w:unhideWhenUsed/>
    <w:rsid w:val="003110FA"/>
    <w:rPr>
      <w:rFonts w:ascii="Tahoma" w:hAnsi="Tahoma" w:cs="Tahoma"/>
      <w:sz w:val="16"/>
      <w:szCs w:val="16"/>
    </w:rPr>
  </w:style>
  <w:style w:type="character" w:customStyle="1" w:styleId="BalloonTextChar">
    <w:name w:val="Balloon Text Char"/>
    <w:basedOn w:val="DefaultParagraphFont"/>
    <w:link w:val="BalloonText"/>
    <w:uiPriority w:val="99"/>
    <w:semiHidden/>
    <w:rsid w:val="003110FA"/>
    <w:rPr>
      <w:rFonts w:ascii="Tahoma" w:hAnsi="Tahoma" w:cs="Tahoma"/>
      <w:sz w:val="16"/>
      <w:szCs w:val="16"/>
    </w:rPr>
  </w:style>
  <w:style w:type="paragraph" w:styleId="ListParagraph">
    <w:name w:val="List Paragraph"/>
    <w:basedOn w:val="Normal"/>
    <w:uiPriority w:val="34"/>
    <w:qFormat/>
    <w:rsid w:val="008D76F7"/>
    <w:pPr>
      <w:ind w:left="720"/>
      <w:contextualSpacing/>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41410740">
      <w:bodyDiv w:val="1"/>
      <w:marLeft w:val="0"/>
      <w:marRight w:val="0"/>
      <w:marTop w:val="0"/>
      <w:marBottom w:val="0"/>
      <w:divBdr>
        <w:top w:val="none" w:sz="0" w:space="0" w:color="auto"/>
        <w:left w:val="none" w:sz="0" w:space="0" w:color="auto"/>
        <w:bottom w:val="none" w:sz="0" w:space="0" w:color="auto"/>
        <w:right w:val="none" w:sz="0" w:space="0" w:color="auto"/>
      </w:divBdr>
      <w:divsChild>
        <w:div w:id="479005530">
          <w:marLeft w:val="547"/>
          <w:marRight w:val="0"/>
          <w:marTop w:val="600"/>
          <w:marBottom w:val="0"/>
          <w:divBdr>
            <w:top w:val="none" w:sz="0" w:space="0" w:color="auto"/>
            <w:left w:val="none" w:sz="0" w:space="0" w:color="auto"/>
            <w:bottom w:val="none" w:sz="0" w:space="0" w:color="auto"/>
            <w:right w:val="none" w:sz="0" w:space="0" w:color="auto"/>
          </w:divBdr>
        </w:div>
        <w:div w:id="1945723404">
          <w:marLeft w:val="1166"/>
          <w:marRight w:val="0"/>
          <w:marTop w:val="200"/>
          <w:marBottom w:val="0"/>
          <w:divBdr>
            <w:top w:val="none" w:sz="0" w:space="0" w:color="auto"/>
            <w:left w:val="none" w:sz="0" w:space="0" w:color="auto"/>
            <w:bottom w:val="none" w:sz="0" w:space="0" w:color="auto"/>
            <w:right w:val="none" w:sz="0" w:space="0" w:color="auto"/>
          </w:divBdr>
        </w:div>
        <w:div w:id="287053997">
          <w:marLeft w:val="1166"/>
          <w:marRight w:val="0"/>
          <w:marTop w:val="200"/>
          <w:marBottom w:val="0"/>
          <w:divBdr>
            <w:top w:val="none" w:sz="0" w:space="0" w:color="auto"/>
            <w:left w:val="none" w:sz="0" w:space="0" w:color="auto"/>
            <w:bottom w:val="none" w:sz="0" w:space="0" w:color="auto"/>
            <w:right w:val="none" w:sz="0" w:space="0" w:color="auto"/>
          </w:divBdr>
        </w:div>
        <w:div w:id="2029871386">
          <w:marLeft w:val="547"/>
          <w:marRight w:val="0"/>
          <w:marTop w:val="600"/>
          <w:marBottom w:val="0"/>
          <w:divBdr>
            <w:top w:val="none" w:sz="0" w:space="0" w:color="auto"/>
            <w:left w:val="none" w:sz="0" w:space="0" w:color="auto"/>
            <w:bottom w:val="none" w:sz="0" w:space="0" w:color="auto"/>
            <w:right w:val="none" w:sz="0" w:space="0" w:color="auto"/>
          </w:divBdr>
        </w:div>
        <w:div w:id="1221021101">
          <w:marLeft w:val="1166"/>
          <w:marRight w:val="0"/>
          <w:marTop w:val="200"/>
          <w:marBottom w:val="0"/>
          <w:divBdr>
            <w:top w:val="none" w:sz="0" w:space="0" w:color="auto"/>
            <w:left w:val="none" w:sz="0" w:space="0" w:color="auto"/>
            <w:bottom w:val="none" w:sz="0" w:space="0" w:color="auto"/>
            <w:right w:val="none" w:sz="0" w:space="0" w:color="auto"/>
          </w:divBdr>
        </w:div>
        <w:div w:id="2100711041">
          <w:marLeft w:val="1166"/>
          <w:marRight w:val="0"/>
          <w:marTop w:val="200"/>
          <w:marBottom w:val="0"/>
          <w:divBdr>
            <w:top w:val="none" w:sz="0" w:space="0" w:color="auto"/>
            <w:left w:val="none" w:sz="0" w:space="0" w:color="auto"/>
            <w:bottom w:val="none" w:sz="0" w:space="0" w:color="auto"/>
            <w:right w:val="none" w:sz="0" w:space="0" w:color="auto"/>
          </w:divBdr>
        </w:div>
        <w:div w:id="111844638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gi-bin/sssd/naics/naicsrch?code=324&amp;search=2002%20NAICS%20Search" TargetMode="External"/><Relationship Id="rId13" Type="http://schemas.openxmlformats.org/officeDocument/2006/relationships/hyperlink" Target="http://ops.fhwa.dot.gov/freight/freigh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ensus.gov/cgi-bin/sssd/naics/naicsrch?code=42471&amp;search=2002%20NAICS%20Search"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B599-C0C5-4418-B5D7-A0C83689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Cambridge Systematics, Inc.</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Dike Ahanotu</dc:creator>
  <cp:keywords/>
  <dc:description/>
  <cp:lastModifiedBy>Anne Goodchild</cp:lastModifiedBy>
  <cp:revision>2</cp:revision>
  <cp:lastPrinted>2010-08-03T16:49:00Z</cp:lastPrinted>
  <dcterms:created xsi:type="dcterms:W3CDTF">2010-08-04T23:29:00Z</dcterms:created>
  <dcterms:modified xsi:type="dcterms:W3CDTF">2010-08-04T23:29:00Z</dcterms:modified>
</cp:coreProperties>
</file>